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A453" w14:textId="77777777" w:rsidR="00013847" w:rsidRPr="00D3487E" w:rsidRDefault="00D3487E">
      <w:pPr>
        <w:pBdr>
          <w:top w:val="nil"/>
          <w:left w:val="nil"/>
          <w:bottom w:val="nil"/>
          <w:right w:val="nil"/>
          <w:between w:val="nil"/>
        </w:pBdr>
        <w:spacing w:after="0" w:line="276" w:lineRule="auto"/>
        <w:jc w:val="center"/>
        <w:rPr>
          <w:rFonts w:ascii="Montserrat" w:eastAsia="Montserrat" w:hAnsi="Montserrat" w:cs="Montserrat"/>
          <w:b/>
          <w:color w:val="7D448A"/>
          <w:sz w:val="52"/>
          <w:szCs w:val="52"/>
        </w:rPr>
      </w:pPr>
      <w:r w:rsidRPr="00D3487E">
        <w:rPr>
          <w:rFonts w:ascii="Montserrat" w:eastAsia="Montserrat" w:hAnsi="Montserrat" w:cs="Montserrat"/>
          <w:b/>
          <w:color w:val="7D448A"/>
          <w:sz w:val="52"/>
          <w:szCs w:val="52"/>
        </w:rPr>
        <w:t>Oživte svůj účes fialovými tóny</w:t>
      </w:r>
    </w:p>
    <w:p w14:paraId="3A1AD53A" w14:textId="77777777" w:rsidR="00013847" w:rsidRDefault="00D3487E">
      <w:pPr>
        <w:pStyle w:val="Podnadpis"/>
        <w:spacing w:line="276" w:lineRule="auto"/>
        <w:jc w:val="center"/>
        <w:rPr>
          <w:rFonts w:ascii="Montserrat" w:eastAsia="Montserrat" w:hAnsi="Montserrat" w:cs="Montserrat"/>
          <w:b/>
          <w:i/>
          <w:color w:val="000000"/>
        </w:rPr>
      </w:pPr>
      <w:r>
        <w:rPr>
          <w:rFonts w:ascii="Montserrat" w:eastAsia="Montserrat" w:hAnsi="Montserrat" w:cs="Montserrat"/>
          <w:b/>
          <w:i/>
          <w:color w:val="000000"/>
        </w:rPr>
        <w:t xml:space="preserve">Výjimečná péče </w:t>
      </w:r>
      <w:proofErr w:type="spellStart"/>
      <w:r>
        <w:rPr>
          <w:rFonts w:ascii="Montserrat" w:eastAsia="Montserrat" w:hAnsi="Montserrat" w:cs="Montserrat"/>
          <w:b/>
          <w:i/>
          <w:color w:val="000000"/>
        </w:rPr>
        <w:t>Color</w:t>
      </w:r>
      <w:proofErr w:type="spellEnd"/>
      <w:r>
        <w:rPr>
          <w:rFonts w:ascii="Montserrat" w:eastAsia="Montserrat" w:hAnsi="Montserrat" w:cs="Montserrat"/>
          <w:b/>
          <w:i/>
          <w:color w:val="000000"/>
        </w:rPr>
        <w:t xml:space="preserve"> </w:t>
      </w:r>
      <w:proofErr w:type="spellStart"/>
      <w:r>
        <w:rPr>
          <w:rFonts w:ascii="Montserrat" w:eastAsia="Montserrat" w:hAnsi="Montserrat" w:cs="Montserrat"/>
          <w:b/>
          <w:i/>
          <w:color w:val="000000"/>
        </w:rPr>
        <w:t>Conditioning</w:t>
      </w:r>
      <w:proofErr w:type="spellEnd"/>
      <w:r>
        <w:rPr>
          <w:rFonts w:ascii="Montserrat" w:eastAsia="Montserrat" w:hAnsi="Montserrat" w:cs="Montserrat"/>
          <w:b/>
          <w:i/>
          <w:color w:val="000000"/>
        </w:rPr>
        <w:t xml:space="preserve"> Shot nově ve fialovém odstínu</w:t>
      </w:r>
    </w:p>
    <w:p w14:paraId="3272DA14" w14:textId="02AA258E" w:rsidR="00013847" w:rsidRDefault="00D3487E">
      <w:pPr>
        <w:jc w:val="center"/>
      </w:pPr>
      <w:r>
        <w:rPr>
          <w:noProof/>
        </w:rPr>
        <w:drawing>
          <wp:inline distT="0" distB="0" distL="0" distR="0" wp14:anchorId="294EBDE0" wp14:editId="2D6EDEE3">
            <wp:extent cx="5700489" cy="2278380"/>
            <wp:effectExtent l="0" t="0" r="0" b="7620"/>
            <wp:docPr id="6603875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867" cy="2280130"/>
                    </a:xfrm>
                    <a:prstGeom prst="rect">
                      <a:avLst/>
                    </a:prstGeom>
                    <a:noFill/>
                    <a:ln>
                      <a:noFill/>
                    </a:ln>
                  </pic:spPr>
                </pic:pic>
              </a:graphicData>
            </a:graphic>
          </wp:inline>
        </w:drawing>
      </w:r>
    </w:p>
    <w:p w14:paraId="7B24FA18" w14:textId="77777777" w:rsidR="00013847" w:rsidRDefault="00D3487E">
      <w:pPr>
        <w:jc w:val="both"/>
      </w:pPr>
      <w:r>
        <w:rPr>
          <w:b/>
          <w:i/>
        </w:rPr>
        <w:t xml:space="preserve">Perfektní barva vlasů ze salonu má jednu malou nevýhodu – nikdy nevydrží tak dlouho, jak bychom chtěli. S rychlým blednutím, nechtěnými odlesky a matností si dokáží během pár minut poradit tónující balzámy na vlasy </w:t>
      </w:r>
      <w:proofErr w:type="spellStart"/>
      <w:r>
        <w:rPr>
          <w:b/>
          <w:i/>
        </w:rPr>
        <w:t>Color</w:t>
      </w:r>
      <w:proofErr w:type="spellEnd"/>
      <w:r>
        <w:rPr>
          <w:b/>
          <w:i/>
        </w:rPr>
        <w:t xml:space="preserve"> </w:t>
      </w:r>
      <w:proofErr w:type="spellStart"/>
      <w:r>
        <w:rPr>
          <w:b/>
          <w:i/>
        </w:rPr>
        <w:t>Conditioning</w:t>
      </w:r>
      <w:proofErr w:type="spellEnd"/>
      <w:r>
        <w:rPr>
          <w:b/>
          <w:i/>
        </w:rPr>
        <w:t xml:space="preserve"> Shot, do jejichž rodiny nyní přibyl nový, fialový odstín.  </w:t>
      </w:r>
    </w:p>
    <w:p w14:paraId="549B59D6" w14:textId="77777777" w:rsidR="00013847" w:rsidRDefault="00D3487E">
      <w:pPr>
        <w:keepNext/>
        <w:keepLines/>
        <w:pBdr>
          <w:top w:val="nil"/>
          <w:left w:val="nil"/>
          <w:bottom w:val="nil"/>
          <w:right w:val="nil"/>
          <w:between w:val="nil"/>
        </w:pBdr>
        <w:spacing w:before="280" w:after="80"/>
        <w:jc w:val="both"/>
        <w:rPr>
          <w:b/>
          <w:sz w:val="28"/>
          <w:szCs w:val="28"/>
        </w:rPr>
      </w:pPr>
      <w:bookmarkStart w:id="0" w:name="_heading=h.wy22duvtbz0i" w:colFirst="0" w:colLast="0"/>
      <w:bookmarkEnd w:id="0"/>
      <w:proofErr w:type="spellStart"/>
      <w:r>
        <w:rPr>
          <w:b/>
          <w:sz w:val="28"/>
          <w:szCs w:val="28"/>
        </w:rPr>
        <w:t>Color</w:t>
      </w:r>
      <w:proofErr w:type="spellEnd"/>
      <w:r>
        <w:rPr>
          <w:b/>
          <w:sz w:val="28"/>
          <w:szCs w:val="28"/>
        </w:rPr>
        <w:t xml:space="preserve"> </w:t>
      </w:r>
      <w:proofErr w:type="spellStart"/>
      <w:r>
        <w:rPr>
          <w:b/>
          <w:sz w:val="28"/>
          <w:szCs w:val="28"/>
        </w:rPr>
        <w:t>Conditioning</w:t>
      </w:r>
      <w:proofErr w:type="spellEnd"/>
      <w:r>
        <w:rPr>
          <w:b/>
          <w:sz w:val="28"/>
          <w:szCs w:val="28"/>
        </w:rPr>
        <w:t xml:space="preserve"> Shot – fialová</w:t>
      </w:r>
      <w:r>
        <w:rPr>
          <w:noProof/>
        </w:rPr>
        <w:drawing>
          <wp:anchor distT="228600" distB="228600" distL="228600" distR="228600" simplePos="0" relativeHeight="251658240" behindDoc="0" locked="0" layoutInCell="1" hidden="0" allowOverlap="1" wp14:anchorId="760A5985" wp14:editId="06194BEA">
            <wp:simplePos x="0" y="0"/>
            <wp:positionH relativeFrom="column">
              <wp:posOffset>4379285</wp:posOffset>
            </wp:positionH>
            <wp:positionV relativeFrom="paragraph">
              <wp:posOffset>238125</wp:posOffset>
            </wp:positionV>
            <wp:extent cx="1382591" cy="2700499"/>
            <wp:effectExtent l="0" t="0" r="0" b="0"/>
            <wp:wrapSquare wrapText="bothSides" distT="228600" distB="228600" distL="228600" distR="228600"/>
            <wp:docPr id="17689872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2591" cy="2700499"/>
                    </a:xfrm>
                    <a:prstGeom prst="rect">
                      <a:avLst/>
                    </a:prstGeom>
                    <a:ln/>
                  </pic:spPr>
                </pic:pic>
              </a:graphicData>
            </a:graphic>
          </wp:anchor>
        </w:drawing>
      </w:r>
    </w:p>
    <w:p w14:paraId="66D24EF7" w14:textId="77777777" w:rsidR="00013847" w:rsidRDefault="00D3487E">
      <w:pPr>
        <w:jc w:val="both"/>
      </w:pPr>
      <w:r>
        <w:t xml:space="preserve">Výjimečná péče 4 v 1 nově přichází ve fialovém odstínu. Tónující balzám díky vysoce intenzivním pigmentům propůjčuje vlasům fialový tón a neutralizuje nežádoucí teplé odlesky. Už během dvou minut tak oživuje barvu vlasů, a to přímo ve vaší koupelně. Během expresního ošetření o vlasy pomocí obsažených pšeničných lipidů pečuje, vyživuje je a zajišťuje vysoký lesk. Kyselé pH uzavírá vnější vrstvu vlasu a pečující látky v něm uzamyká. Zároveň vyrovnává vlasovou strukturu a zanechává vlasy hedvábně hladké. </w:t>
      </w:r>
    </w:p>
    <w:p w14:paraId="2D2C4CF9" w14:textId="77777777" w:rsidR="00013847" w:rsidRDefault="00D3487E">
      <w:pPr>
        <w:jc w:val="both"/>
      </w:pPr>
      <w:proofErr w:type="spellStart"/>
      <w:r>
        <w:t>Color</w:t>
      </w:r>
      <w:proofErr w:type="spellEnd"/>
      <w:r>
        <w:t xml:space="preserve"> </w:t>
      </w:r>
      <w:proofErr w:type="spellStart"/>
      <w:r>
        <w:t>Conditioning</w:t>
      </w:r>
      <w:proofErr w:type="spellEnd"/>
      <w:r>
        <w:t xml:space="preserve"> Shot ve fialovém odstínu je ideální pro osvěžení barvy a neutralizaci teplých odlesků ve studených hnědých, studených červených a fialových odstínech nebo dodání fialového tónu zesvětleným a blond vlasům.</w:t>
      </w:r>
    </w:p>
    <w:p w14:paraId="1791ADDF" w14:textId="77777777" w:rsidR="00013847" w:rsidRDefault="00D3487E">
      <w:pPr>
        <w:jc w:val="both"/>
      </w:pPr>
      <w:r>
        <w:rPr>
          <w:i/>
        </w:rPr>
        <w:t xml:space="preserve">Tip: Čím déle necháte balzám ve vlasech působit, tím intenzivnějšího barevného výsledku dosáhnete. </w:t>
      </w:r>
      <w:r>
        <w:t xml:space="preserve"> </w:t>
      </w:r>
    </w:p>
    <w:p w14:paraId="170E4122" w14:textId="77777777" w:rsidR="00D3487E" w:rsidRDefault="00D3487E">
      <w:pPr>
        <w:jc w:val="both"/>
      </w:pPr>
    </w:p>
    <w:p w14:paraId="3540CFB0" w14:textId="77777777" w:rsidR="00D3487E" w:rsidRDefault="00D3487E">
      <w:pPr>
        <w:jc w:val="both"/>
      </w:pPr>
    </w:p>
    <w:p w14:paraId="61DE3F43" w14:textId="77777777" w:rsidR="00D3487E" w:rsidRDefault="00D3487E">
      <w:pPr>
        <w:jc w:val="both"/>
      </w:pPr>
    </w:p>
    <w:p w14:paraId="4AC80D71" w14:textId="77777777" w:rsidR="00013847" w:rsidRDefault="00D3487E">
      <w:pPr>
        <w:jc w:val="both"/>
      </w:pPr>
      <w:proofErr w:type="spellStart"/>
      <w:r>
        <w:lastRenderedPageBreak/>
        <w:t>Color</w:t>
      </w:r>
      <w:proofErr w:type="spellEnd"/>
      <w:r>
        <w:t xml:space="preserve"> </w:t>
      </w:r>
      <w:proofErr w:type="spellStart"/>
      <w:r>
        <w:t>Conditioning</w:t>
      </w:r>
      <w:proofErr w:type="spellEnd"/>
      <w:r>
        <w:t xml:space="preserve"> </w:t>
      </w:r>
      <w:proofErr w:type="spellStart"/>
      <w:r>
        <w:t>Shots</w:t>
      </w:r>
      <w:proofErr w:type="spellEnd"/>
      <w:r>
        <w:t xml:space="preserve"> jsou k dostání v následujících odstínech:</w:t>
      </w:r>
    </w:p>
    <w:p w14:paraId="77B88230" w14:textId="77777777" w:rsidR="00013847" w:rsidRDefault="00D3487E">
      <w:pPr>
        <w:numPr>
          <w:ilvl w:val="0"/>
          <w:numId w:val="1"/>
        </w:numPr>
        <w:spacing w:after="0"/>
        <w:jc w:val="both"/>
        <w:rPr>
          <w:b/>
        </w:rPr>
      </w:pPr>
      <w:r>
        <w:rPr>
          <w:b/>
        </w:rPr>
        <w:t>NOVINKA: fialová</w:t>
      </w:r>
    </w:p>
    <w:p w14:paraId="7C6758FB" w14:textId="77777777" w:rsidR="00013847" w:rsidRDefault="00D3487E">
      <w:pPr>
        <w:numPr>
          <w:ilvl w:val="0"/>
          <w:numId w:val="1"/>
        </w:numPr>
        <w:spacing w:after="0"/>
        <w:jc w:val="both"/>
      </w:pPr>
      <w:r>
        <w:t>studená hnědá</w:t>
      </w:r>
    </w:p>
    <w:p w14:paraId="23CD849B" w14:textId="77777777" w:rsidR="00013847" w:rsidRDefault="00D3487E">
      <w:pPr>
        <w:numPr>
          <w:ilvl w:val="0"/>
          <w:numId w:val="1"/>
        </w:numPr>
        <w:spacing w:after="0"/>
        <w:jc w:val="both"/>
      </w:pPr>
      <w:r>
        <w:t>teplá hnědá</w:t>
      </w:r>
    </w:p>
    <w:p w14:paraId="1E64E5AF" w14:textId="77777777" w:rsidR="00013847" w:rsidRDefault="00D3487E">
      <w:pPr>
        <w:numPr>
          <w:ilvl w:val="0"/>
          <w:numId w:val="1"/>
        </w:numPr>
        <w:spacing w:after="0"/>
        <w:jc w:val="both"/>
      </w:pPr>
      <w:r>
        <w:t>červená</w:t>
      </w:r>
    </w:p>
    <w:p w14:paraId="1FCC26F8" w14:textId="77777777" w:rsidR="00013847" w:rsidRDefault="00D3487E">
      <w:pPr>
        <w:numPr>
          <w:ilvl w:val="0"/>
          <w:numId w:val="1"/>
        </w:numPr>
        <w:spacing w:after="0"/>
        <w:jc w:val="both"/>
      </w:pPr>
      <w:r>
        <w:t>měděná</w:t>
      </w:r>
    </w:p>
    <w:p w14:paraId="75FFBB00" w14:textId="77777777" w:rsidR="00013847" w:rsidRDefault="00D3487E">
      <w:pPr>
        <w:numPr>
          <w:ilvl w:val="0"/>
          <w:numId w:val="1"/>
        </w:numPr>
        <w:spacing w:after="0"/>
        <w:jc w:val="both"/>
      </w:pPr>
      <w:r>
        <w:t>stříbrná blond</w:t>
      </w:r>
    </w:p>
    <w:p w14:paraId="6EB5F711" w14:textId="77777777" w:rsidR="00013847" w:rsidRDefault="00D3487E">
      <w:pPr>
        <w:numPr>
          <w:ilvl w:val="0"/>
          <w:numId w:val="1"/>
        </w:numPr>
        <w:jc w:val="both"/>
      </w:pPr>
      <w:r>
        <w:t>zlatá blond</w:t>
      </w:r>
    </w:p>
    <w:p w14:paraId="55D441FB" w14:textId="77777777" w:rsidR="00013847" w:rsidRDefault="00D3487E">
      <w:pPr>
        <w:jc w:val="both"/>
      </w:pPr>
      <w:r>
        <w:rPr>
          <w:b/>
        </w:rPr>
        <w:t>Doporučená prodejní cena:</w:t>
      </w:r>
      <w:r>
        <w:t xml:space="preserve"> 400 Kč / 14,60 €</w:t>
      </w:r>
    </w:p>
    <w:p w14:paraId="4AF42F4C" w14:textId="77777777" w:rsidR="00013847" w:rsidRDefault="00D3487E">
      <w:pPr>
        <w:jc w:val="both"/>
      </w:pPr>
      <w:r>
        <w:rPr>
          <w:b/>
        </w:rPr>
        <w:t xml:space="preserve">Objem: </w:t>
      </w:r>
      <w:r>
        <w:t>150 ml</w:t>
      </w:r>
    </w:p>
    <w:p w14:paraId="14C74CC8" w14:textId="77777777" w:rsidR="00013847" w:rsidRDefault="00D3487E">
      <w:r>
        <w:rPr>
          <w:b/>
        </w:rPr>
        <w:t>Použití:</w:t>
      </w:r>
      <w:r>
        <w:t xml:space="preserve"> Podle požadované intenzity nechte ve vlasech působit 2–5 minut, poté důkladně opláchněte. Pro dosažení perfektního výsledku aplikujte po každém druhém až třetím mytí. Udržíte si tak krásnou barvu vlasů mezi jednotlivými návštěvami kadeřníka.</w:t>
      </w:r>
    </w:p>
    <w:p w14:paraId="3CD943C9" w14:textId="77777777" w:rsidR="00013847" w:rsidRDefault="00D3487E">
      <w:pPr>
        <w:jc w:val="center"/>
        <w:rPr>
          <w:rFonts w:ascii="Montserrat" w:eastAsia="Montserrat" w:hAnsi="Montserrat" w:cs="Montserrat"/>
          <w:b/>
          <w:i/>
          <w:color w:val="818792"/>
          <w:sz w:val="28"/>
          <w:szCs w:val="28"/>
        </w:rPr>
      </w:pPr>
      <w:r>
        <w:rPr>
          <w:rFonts w:ascii="Montserrat" w:eastAsia="Montserrat" w:hAnsi="Montserrat" w:cs="Montserrat"/>
          <w:b/>
          <w:i/>
        </w:rPr>
        <w:t>Produkty jsou dostupné v salonech spolupracujících se značkou ALCINA od března 2024.</w:t>
      </w:r>
    </w:p>
    <w:sectPr w:rsidR="00013847">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4E33" w14:textId="77777777" w:rsidR="00D3487E" w:rsidRDefault="00D3487E">
      <w:pPr>
        <w:spacing w:after="0" w:line="240" w:lineRule="auto"/>
      </w:pPr>
      <w:r>
        <w:separator/>
      </w:r>
    </w:p>
  </w:endnote>
  <w:endnote w:type="continuationSeparator" w:id="0">
    <w:p w14:paraId="26C4D0FF" w14:textId="77777777" w:rsidR="00D3487E" w:rsidRDefault="00D3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Gotham Light">
    <w:panose1 w:val="00000000000000000000"/>
    <w:charset w:val="00"/>
    <w:family w:val="modern"/>
    <w:notTrueType/>
    <w:pitch w:val="variable"/>
    <w:sig w:usb0="A10000FF" w:usb1="40000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9690" w14:textId="77777777" w:rsidR="00013847" w:rsidRDefault="0001384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64DD" w14:textId="77777777" w:rsidR="00013847" w:rsidRDefault="00D3487E">
    <w:pPr>
      <w:pBdr>
        <w:top w:val="nil"/>
        <w:left w:val="nil"/>
        <w:bottom w:val="nil"/>
        <w:right w:val="nil"/>
        <w:between w:val="nil"/>
      </w:pBdr>
      <w:tabs>
        <w:tab w:val="center" w:pos="4536"/>
        <w:tab w:val="right" w:pos="9072"/>
      </w:tabs>
      <w:spacing w:after="0"/>
      <w:rPr>
        <w:rFonts w:ascii="Gotham Light" w:eastAsia="Gotham Light" w:hAnsi="Gotham Light" w:cs="Gotham Light"/>
        <w:color w:val="000000"/>
        <w:sz w:val="14"/>
        <w:szCs w:val="14"/>
      </w:rPr>
    </w:pPr>
    <w:r>
      <w:rPr>
        <w:rFonts w:ascii="Gotham Light" w:eastAsia="Gotham Light" w:hAnsi="Gotham Light" w:cs="Gotham Light"/>
        <w:color w:val="000000"/>
        <w:sz w:val="14"/>
        <w:szCs w:val="14"/>
      </w:rPr>
      <w:t>MEDAC, spol. s r. o. | Maříkova 2034/36 | Brno 621 00</w:t>
    </w:r>
    <w:r>
      <w:rPr>
        <w:rFonts w:ascii="Gotham Light" w:eastAsia="Gotham Light" w:hAnsi="Gotham Light" w:cs="Gotham Light"/>
        <w:color w:val="000000"/>
        <w:sz w:val="14"/>
        <w:szCs w:val="14"/>
      </w:rPr>
      <w:br/>
    </w:r>
    <w:r>
      <w:rPr>
        <w:rFonts w:ascii="Gotham Light" w:eastAsia="Gotham Light" w:hAnsi="Gotham Light" w:cs="Gotham Light"/>
        <w:color w:val="000000"/>
        <w:sz w:val="14"/>
        <w:szCs w:val="14"/>
      </w:rPr>
      <w:t xml:space="preserve">PR značky ALCINA: Adriana Spílková | tel.: 728 358 829 | e-mail: </w:t>
    </w:r>
    <w:hyperlink r:id="rId1">
      <w:r>
        <w:rPr>
          <w:rFonts w:ascii="Gotham Light" w:eastAsia="Gotham Light" w:hAnsi="Gotham Light" w:cs="Gotham Light"/>
          <w:color w:val="A88751"/>
          <w:sz w:val="14"/>
          <w:szCs w:val="14"/>
          <w:u w:val="single"/>
        </w:rPr>
        <w:t>adriana.spilkova@medac.cz</w:t>
      </w:r>
    </w:hyperlink>
    <w:r>
      <w:rPr>
        <w:rFonts w:ascii="Gotham Light" w:eastAsia="Gotham Light" w:hAnsi="Gotham Light" w:cs="Gotham Light"/>
        <w:color w:val="A88751"/>
        <w:sz w:val="14"/>
        <w:szCs w:val="14"/>
      </w:rPr>
      <w:t xml:space="preserve"> </w:t>
    </w:r>
  </w:p>
  <w:p w14:paraId="33EE3C9D" w14:textId="77777777" w:rsidR="00013847" w:rsidRDefault="00D3487E">
    <w:pPr>
      <w:pBdr>
        <w:top w:val="nil"/>
        <w:left w:val="nil"/>
        <w:bottom w:val="nil"/>
        <w:right w:val="nil"/>
        <w:between w:val="nil"/>
      </w:pBdr>
      <w:tabs>
        <w:tab w:val="center" w:pos="4536"/>
        <w:tab w:val="right" w:pos="9072"/>
      </w:tabs>
      <w:spacing w:after="0"/>
      <w:rPr>
        <w:rFonts w:ascii="Gotham Light" w:eastAsia="Gotham Light" w:hAnsi="Gotham Light" w:cs="Gotham Light"/>
        <w:b/>
        <w:color w:val="A78650"/>
        <w:sz w:val="14"/>
        <w:szCs w:val="14"/>
        <w:u w:val="single"/>
      </w:rPr>
    </w:pPr>
    <w:r>
      <w:rPr>
        <w:rFonts w:ascii="Gotham Light" w:eastAsia="Gotham Light" w:hAnsi="Gotham Light" w:cs="Gotham Light"/>
        <w:b/>
        <w:color w:val="000000"/>
        <w:sz w:val="14"/>
        <w:szCs w:val="14"/>
      </w:rPr>
      <w:t>Tiskové materiály ke stažení zde</w:t>
    </w:r>
    <w:r>
      <w:rPr>
        <w:rFonts w:ascii="Gotham Light" w:eastAsia="Gotham Light" w:hAnsi="Gotham Light" w:cs="Gotham Light"/>
        <w:color w:val="000000"/>
        <w:sz w:val="14"/>
        <w:szCs w:val="14"/>
      </w:rPr>
      <w:t xml:space="preserve">: </w:t>
    </w:r>
    <w:hyperlink r:id="rId2">
      <w:r>
        <w:rPr>
          <w:rFonts w:ascii="Gotham Light" w:eastAsia="Gotham Light" w:hAnsi="Gotham Light" w:cs="Gotham Light"/>
          <w:color w:val="A78650"/>
          <w:sz w:val="14"/>
          <w:szCs w:val="14"/>
          <w:u w:val="single"/>
        </w:rPr>
        <w:t>https://www.alcina.cz/pressroom</w:t>
      </w:r>
    </w:hyperlink>
  </w:p>
  <w:p w14:paraId="55983411" w14:textId="77777777" w:rsidR="00013847" w:rsidRDefault="00D3487E">
    <w:pPr>
      <w:pBdr>
        <w:top w:val="nil"/>
        <w:left w:val="nil"/>
        <w:bottom w:val="nil"/>
        <w:right w:val="nil"/>
        <w:between w:val="nil"/>
      </w:pBdr>
      <w:tabs>
        <w:tab w:val="center" w:pos="4536"/>
        <w:tab w:val="right" w:pos="9072"/>
      </w:tabs>
      <w:spacing w:after="0"/>
      <w:rPr>
        <w:rFonts w:ascii="Gotham Light" w:eastAsia="Gotham Light" w:hAnsi="Gotham Light" w:cs="Gotham Light"/>
        <w:b/>
        <w:color w:val="000000"/>
        <w:sz w:val="14"/>
        <w:szCs w:val="14"/>
      </w:rPr>
    </w:pPr>
    <w:r>
      <w:rPr>
        <w:rFonts w:ascii="Gotham Light" w:eastAsia="Gotham Light" w:hAnsi="Gotham Light" w:cs="Gotham Light"/>
        <w:b/>
        <w:sz w:val="14"/>
        <w:szCs w:val="14"/>
      </w:rPr>
      <w:t>Při použití fotografií modelek prosím uvádějte značku ALCINA jako zdroj.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D4FF" w14:textId="77777777" w:rsidR="00013847" w:rsidRDefault="0001384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F4EC" w14:textId="77777777" w:rsidR="00D3487E" w:rsidRDefault="00D3487E">
      <w:pPr>
        <w:spacing w:after="0" w:line="240" w:lineRule="auto"/>
      </w:pPr>
      <w:r>
        <w:separator/>
      </w:r>
    </w:p>
  </w:footnote>
  <w:footnote w:type="continuationSeparator" w:id="0">
    <w:p w14:paraId="59E97AE2" w14:textId="77777777" w:rsidR="00D3487E" w:rsidRDefault="00D3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455F" w14:textId="77777777" w:rsidR="00013847" w:rsidRDefault="0001384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1C37" w14:textId="77777777" w:rsidR="00013847" w:rsidRDefault="00D3487E">
    <w:pPr>
      <w:widowControl w:val="0"/>
      <w:pBdr>
        <w:top w:val="nil"/>
        <w:left w:val="nil"/>
        <w:bottom w:val="nil"/>
        <w:right w:val="nil"/>
        <w:between w:val="nil"/>
      </w:pBdr>
      <w:spacing w:after="0" w:line="276" w:lineRule="auto"/>
      <w:rPr>
        <w:rFonts w:ascii="Montserrat" w:eastAsia="Montserrat" w:hAnsi="Montserrat" w:cs="Montserrat"/>
        <w:b/>
        <w:color w:val="818792"/>
        <w:sz w:val="28"/>
        <w:szCs w:val="28"/>
      </w:rPr>
    </w:pPr>
    <w:r>
      <w:rPr>
        <w:noProof/>
      </w:rPr>
      <w:drawing>
        <wp:anchor distT="0" distB="0" distL="114300" distR="114300" simplePos="0" relativeHeight="251658240" behindDoc="0" locked="0" layoutInCell="1" hidden="0" allowOverlap="1" wp14:anchorId="4B25D466" wp14:editId="055229E5">
          <wp:simplePos x="0" y="0"/>
          <wp:positionH relativeFrom="column">
            <wp:posOffset>2077402</wp:posOffset>
          </wp:positionH>
          <wp:positionV relativeFrom="paragraph">
            <wp:posOffset>266700</wp:posOffset>
          </wp:positionV>
          <wp:extent cx="1605915" cy="367030"/>
          <wp:effectExtent l="0" t="0" r="0" b="0"/>
          <wp:wrapSquare wrapText="bothSides" distT="0" distB="0" distL="114300" distR="114300"/>
          <wp:docPr id="17689872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5915" cy="367030"/>
                  </a:xfrm>
                  <a:prstGeom prst="rect">
                    <a:avLst/>
                  </a:prstGeom>
                  <a:ln/>
                </pic:spPr>
              </pic:pic>
            </a:graphicData>
          </a:graphic>
        </wp:anchor>
      </w:drawing>
    </w:r>
  </w:p>
  <w:tbl>
    <w:tblPr>
      <w:tblStyle w:val="a4"/>
      <w:tblW w:w="8374" w:type="dxa"/>
      <w:tblInd w:w="-635" w:type="dxa"/>
      <w:tblBorders>
        <w:top w:val="nil"/>
        <w:left w:val="nil"/>
        <w:bottom w:val="nil"/>
        <w:right w:val="nil"/>
        <w:insideH w:val="nil"/>
        <w:insideV w:val="nil"/>
      </w:tblBorders>
      <w:tblLayout w:type="fixed"/>
      <w:tblLook w:val="0400" w:firstRow="0" w:lastRow="0" w:firstColumn="0" w:lastColumn="0" w:noHBand="0" w:noVBand="1"/>
    </w:tblPr>
    <w:tblGrid>
      <w:gridCol w:w="5551"/>
      <w:gridCol w:w="2823"/>
    </w:tblGrid>
    <w:tr w:rsidR="00013847" w14:paraId="371416C5" w14:textId="77777777">
      <w:trPr>
        <w:trHeight w:val="383"/>
      </w:trPr>
      <w:tc>
        <w:tcPr>
          <w:tcW w:w="5551" w:type="dxa"/>
        </w:tcPr>
        <w:p w14:paraId="22933FB3" w14:textId="7E27222A" w:rsidR="00013847" w:rsidRDefault="00D3487E" w:rsidP="00D3487E">
          <w:pPr>
            <w:ind w:left="636" w:right="-3031"/>
            <w:rPr>
              <w:rFonts w:ascii="Montserrat" w:eastAsia="Montserrat" w:hAnsi="Montserrat" w:cs="Montserrat"/>
              <w:b/>
              <w:sz w:val="16"/>
              <w:szCs w:val="16"/>
            </w:rPr>
          </w:pPr>
          <w:r>
            <w:rPr>
              <w:rFonts w:ascii="Montserrat" w:eastAsia="Montserrat" w:hAnsi="Montserrat" w:cs="Montserrat"/>
              <w:b/>
              <w:sz w:val="16"/>
              <w:szCs w:val="16"/>
            </w:rPr>
            <w:t>18</w:t>
          </w:r>
          <w:r>
            <w:rPr>
              <w:rFonts w:ascii="Montserrat" w:eastAsia="Montserrat" w:hAnsi="Montserrat" w:cs="Montserrat"/>
              <w:b/>
              <w:sz w:val="16"/>
              <w:szCs w:val="16"/>
            </w:rPr>
            <w:t>. 3. 2024</w:t>
          </w:r>
        </w:p>
      </w:tc>
      <w:tc>
        <w:tcPr>
          <w:tcW w:w="2823" w:type="dxa"/>
        </w:tcPr>
        <w:p w14:paraId="05FF8814" w14:textId="77777777" w:rsidR="00013847" w:rsidRDefault="00013847">
          <w:pPr>
            <w:jc w:val="right"/>
          </w:pPr>
        </w:p>
      </w:tc>
    </w:tr>
  </w:tbl>
  <w:p w14:paraId="18BA638D" w14:textId="77777777" w:rsidR="00013847" w:rsidRDefault="00013847">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DE41" w14:textId="77777777" w:rsidR="00013847" w:rsidRDefault="0001384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C10B0"/>
    <w:multiLevelType w:val="multilevel"/>
    <w:tmpl w:val="CE120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282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47"/>
    <w:rsid w:val="00013847"/>
    <w:rsid w:val="00D34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B34D"/>
  <w15:docId w15:val="{287FF4A9-A946-4528-B32A-D43FFC2E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240" w:after="0"/>
      <w:outlineLvl w:val="0"/>
    </w:pPr>
    <w:rPr>
      <w:color w:val="2F5496"/>
      <w:sz w:val="32"/>
      <w:szCs w:val="32"/>
    </w:rPr>
  </w:style>
  <w:style w:type="paragraph" w:styleId="Nadpis2">
    <w:name w:val="heading 2"/>
    <w:basedOn w:val="Normln"/>
    <w:next w:val="Normln"/>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dpis3">
    <w:name w:val="heading 3"/>
    <w:basedOn w:val="Normln"/>
    <w:next w:val="Normln"/>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dpis4">
    <w:name w:val="heading 4"/>
    <w:basedOn w:val="Normln"/>
    <w:next w:val="Normln"/>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dpis5">
    <w:name w:val="heading 5"/>
    <w:basedOn w:val="Normln"/>
    <w:next w:val="Normln"/>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dpis6">
    <w:name w:val="heading 6"/>
    <w:basedOn w:val="Normln"/>
    <w:next w:val="Norml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after="0" w:line="240" w:lineRule="auto"/>
    </w:pPr>
    <w:rPr>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nadpis">
    <w:name w:val="Subtitle"/>
    <w:basedOn w:val="Normln"/>
    <w:next w:val="Normln"/>
    <w:uiPriority w:val="11"/>
    <w:qFormat/>
    <w:pPr>
      <w:pBdr>
        <w:top w:val="nil"/>
        <w:left w:val="nil"/>
        <w:bottom w:val="nil"/>
        <w:right w:val="nil"/>
        <w:between w:val="nil"/>
      </w:pBdr>
    </w:pPr>
    <w:rPr>
      <w:color w:val="5A5A5A"/>
    </w:rPr>
  </w:style>
  <w:style w:type="table" w:customStyle="1" w:styleId="a">
    <w:basedOn w:val="TableNormal4"/>
    <w:pPr>
      <w:spacing w:after="300" w:line="240" w:lineRule="auto"/>
    </w:pPr>
    <w:rPr>
      <w:sz w:val="24"/>
      <w:szCs w:val="24"/>
    </w:rPr>
    <w:tblPr>
      <w:tblStyleRowBandSize w:val="1"/>
      <w:tblStyleColBandSize w:val="1"/>
    </w:tblPr>
  </w:style>
  <w:style w:type="table" w:customStyle="1" w:styleId="a0">
    <w:basedOn w:val="TableNormal4"/>
    <w:pPr>
      <w:spacing w:after="300" w:line="240" w:lineRule="auto"/>
    </w:pPr>
    <w:rPr>
      <w:sz w:val="24"/>
      <w:szCs w:val="24"/>
    </w:rPr>
    <w:tblPr>
      <w:tblStyleRowBandSize w:val="1"/>
      <w:tblStyleColBandSize w:val="1"/>
    </w:tblPr>
  </w:style>
  <w:style w:type="table" w:customStyle="1" w:styleId="a1">
    <w:basedOn w:val="TableNormal4"/>
    <w:pPr>
      <w:spacing w:after="300" w:line="240" w:lineRule="auto"/>
    </w:pPr>
    <w:rPr>
      <w:sz w:val="24"/>
      <w:szCs w:val="24"/>
    </w:rPr>
    <w:tblPr>
      <w:tblStyleRowBandSize w:val="1"/>
      <w:tblStyleColBandSize w:val="1"/>
    </w:tblPr>
  </w:style>
  <w:style w:type="table" w:customStyle="1" w:styleId="a2">
    <w:basedOn w:val="TableNormal4"/>
    <w:pPr>
      <w:spacing w:after="300" w:line="240" w:lineRule="auto"/>
    </w:pPr>
    <w:rPr>
      <w:sz w:val="24"/>
      <w:szCs w:val="24"/>
    </w:rPr>
    <w:tblPr>
      <w:tblStyleRowBandSize w:val="1"/>
      <w:tblStyleColBandSize w:val="1"/>
    </w:tblPr>
  </w:style>
  <w:style w:type="table" w:customStyle="1" w:styleId="a3">
    <w:basedOn w:val="TableNormal4"/>
    <w:pPr>
      <w:spacing w:after="300" w:line="240" w:lineRule="auto"/>
    </w:pPr>
    <w:rPr>
      <w:sz w:val="24"/>
      <w:szCs w:val="24"/>
    </w:rPr>
    <w:tblPr>
      <w:tblStyleRowBandSize w:val="1"/>
      <w:tblStyleColBandSize w:val="1"/>
    </w:tblPr>
  </w:style>
  <w:style w:type="table" w:customStyle="1" w:styleId="a4">
    <w:basedOn w:val="TableNormal4"/>
    <w:pPr>
      <w:spacing w:after="30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alcina.cz/pressroom" TargetMode="External"/><Relationship Id="rId1" Type="http://schemas.openxmlformats.org/officeDocument/2006/relationships/hyperlink" Target="mailto:adriana.spilkova@medac.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y60QDptHlZuQH8TKuR7eTJnzdQ==">CgMxLjAyDmgud3kyMmR1dnRiejBpOAByITFZdlcyVmpJUTZCd1VGRTFzWERoV3ZzUGlMbHpvcWJtSA==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1546</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Marsová Dominika</dc:creator>
  <cp:lastModifiedBy>Marsová Dominika</cp:lastModifiedBy>
  <cp:revision>2</cp:revision>
  <dcterms:created xsi:type="dcterms:W3CDTF">2024-01-08T13:53:00Z</dcterms:created>
  <dcterms:modified xsi:type="dcterms:W3CDTF">2024-03-14T08:33:00Z</dcterms:modified>
</cp:coreProperties>
</file>